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F8B" w:rsidRDefault="002D4F8B" w:rsidP="002D4F8B">
      <w:pPr>
        <w:pStyle w:val="Title"/>
        <w:tabs>
          <w:tab w:val="right" w:pos="15398"/>
        </w:tabs>
      </w:pPr>
      <w:r>
        <w:rPr>
          <w:noProof/>
          <w:lang w:eastAsia="en-AU"/>
        </w:rPr>
        <w:drawing>
          <wp:anchor distT="0" distB="0" distL="114300" distR="114300" simplePos="0" relativeHeight="251658240" behindDoc="1" locked="0" layoutInCell="1" allowOverlap="1">
            <wp:simplePos x="0" y="0"/>
            <wp:positionH relativeFrom="column">
              <wp:posOffset>8696325</wp:posOffset>
            </wp:positionH>
            <wp:positionV relativeFrom="paragraph">
              <wp:posOffset>0</wp:posOffset>
            </wp:positionV>
            <wp:extent cx="1298575" cy="1316990"/>
            <wp:effectExtent l="0" t="0" r="0" b="0"/>
            <wp:wrapTight wrapText="bothSides">
              <wp:wrapPolygon edited="0">
                <wp:start x="0" y="0"/>
                <wp:lineTo x="0" y="21246"/>
                <wp:lineTo x="21230" y="21246"/>
                <wp:lineTo x="212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8575" cy="1316990"/>
                    </a:xfrm>
                    <a:prstGeom prst="rect">
                      <a:avLst/>
                    </a:prstGeom>
                    <a:noFill/>
                  </pic:spPr>
                </pic:pic>
              </a:graphicData>
            </a:graphic>
          </wp:anchor>
        </w:drawing>
      </w:r>
      <w:r>
        <w:t>The Hierarchy of Evidence</w:t>
      </w:r>
      <w:r>
        <w:tab/>
      </w:r>
    </w:p>
    <w:p w:rsidR="002D4F8B" w:rsidRDefault="002D4F8B" w:rsidP="002D4F8B"/>
    <w:p w:rsidR="002D4F8B" w:rsidRPr="003D1DE6" w:rsidRDefault="002D4F8B" w:rsidP="002D4F8B">
      <w:pPr>
        <w:rPr>
          <w:b/>
        </w:rPr>
      </w:pPr>
      <w:r w:rsidRPr="002D4F8B">
        <w:rPr>
          <w:b/>
        </w:rPr>
        <w:t xml:space="preserve">The Hierarchy of evidence is based on summaries from the National Health and Medical Research Council (2009), the Oxford Centre for Evidence-based Medicine Levels of Evidence (2011) and </w:t>
      </w:r>
      <w:proofErr w:type="spellStart"/>
      <w:proofErr w:type="gramStart"/>
      <w:r w:rsidRPr="002D4F8B">
        <w:rPr>
          <w:b/>
        </w:rPr>
        <w:t>Melynyk</w:t>
      </w:r>
      <w:proofErr w:type="spellEnd"/>
      <w:r w:rsidRPr="002D4F8B">
        <w:rPr>
          <w:b/>
        </w:rPr>
        <w:t xml:space="preserve">  and</w:t>
      </w:r>
      <w:proofErr w:type="gramEnd"/>
      <w:r w:rsidRPr="002D4F8B">
        <w:rPr>
          <w:b/>
        </w:rPr>
        <w:t xml:space="preserve"> </w:t>
      </w:r>
      <w:proofErr w:type="spellStart"/>
      <w:r w:rsidRPr="002D4F8B">
        <w:rPr>
          <w:b/>
        </w:rPr>
        <w:t>Fineout-Overholt</w:t>
      </w:r>
      <w:proofErr w:type="spellEnd"/>
      <w:r w:rsidRPr="002D4F8B">
        <w:rPr>
          <w:b/>
        </w:rPr>
        <w:t xml:space="preserve"> (2011). </w:t>
      </w:r>
    </w:p>
    <w:p w:rsidR="002D4F8B" w:rsidRDefault="002D4F8B" w:rsidP="002D4F8B">
      <w:r>
        <w:t>Ι</w:t>
      </w:r>
      <w:r>
        <w:tab/>
        <w:t>Evidence obtained from a systematic review of all relevant randomised control trials.</w:t>
      </w:r>
    </w:p>
    <w:p w:rsidR="002D4F8B" w:rsidRDefault="002D4F8B" w:rsidP="002D4F8B">
      <w:r>
        <w:t>ΙΙ</w:t>
      </w:r>
      <w:r>
        <w:tab/>
        <w:t>Evidence obtained from at least one well designed randomised control trial.</w:t>
      </w:r>
    </w:p>
    <w:p w:rsidR="002D4F8B" w:rsidRDefault="002D4F8B" w:rsidP="002D4F8B">
      <w:r>
        <w:t>ΙΙΙ</w:t>
      </w:r>
      <w:r>
        <w:tab/>
        <w:t>Evidence obtained from well-designed controlled trials without randomisation.</w:t>
      </w:r>
    </w:p>
    <w:p w:rsidR="002D4F8B" w:rsidRDefault="002D4F8B" w:rsidP="00F11F3D">
      <w:pPr>
        <w:ind w:left="720" w:hanging="720"/>
      </w:pPr>
      <w:r>
        <w:t>IV</w:t>
      </w:r>
      <w:r>
        <w:tab/>
        <w:t>Evidence obtained from well designed cohort studies, case control studies, interrupted time series with a control group, historically controlled studies, interrupted time series without a control group or with case- series</w:t>
      </w:r>
    </w:p>
    <w:p w:rsidR="002D4F8B" w:rsidRDefault="002D4F8B" w:rsidP="002D4F8B">
      <w:r>
        <w:t xml:space="preserve">V </w:t>
      </w:r>
      <w:r>
        <w:tab/>
        <w:t xml:space="preserve">Evidence obtained from systematic reviews of descriptive and qualitative studies </w:t>
      </w:r>
    </w:p>
    <w:p w:rsidR="002D4F8B" w:rsidRDefault="002D4F8B" w:rsidP="002D4F8B">
      <w:r>
        <w:t>VI</w:t>
      </w:r>
      <w:r>
        <w:tab/>
        <w:t>Evidence obtained from single descriptive and qualitative studies</w:t>
      </w:r>
    </w:p>
    <w:p w:rsidR="002D4F8B" w:rsidRDefault="002D4F8B" w:rsidP="002D4F8B">
      <w:r>
        <w:t>VII</w:t>
      </w:r>
      <w:r>
        <w:tab/>
        <w:t xml:space="preserve">Expert opinion from clinicians, authorities and/or reports of expert committees or based on physiology </w:t>
      </w:r>
    </w:p>
    <w:p w:rsidR="002D4F8B" w:rsidRPr="003D1DE6" w:rsidRDefault="002D4F8B" w:rsidP="002D4F8B">
      <w:pPr>
        <w:rPr>
          <w:sz w:val="20"/>
        </w:rPr>
      </w:pPr>
      <w:proofErr w:type="spellStart"/>
      <w:r w:rsidRPr="003D1DE6">
        <w:rPr>
          <w:sz w:val="20"/>
        </w:rPr>
        <w:t>Melynyk</w:t>
      </w:r>
      <w:proofErr w:type="spellEnd"/>
      <w:r w:rsidRPr="003D1DE6">
        <w:rPr>
          <w:sz w:val="20"/>
        </w:rPr>
        <w:t>, B. &amp; Fineout-Overholt, E. (2011). Evidence-based practice in nursing &amp; healthcare: A guide to best practice (2nd ed.).  Philadelphia: Wolters Kluwer, Lippincott Williams &amp; Wilkins.</w:t>
      </w:r>
    </w:p>
    <w:p w:rsidR="002D4F8B" w:rsidRPr="003D1DE6" w:rsidRDefault="002D4F8B" w:rsidP="002D4F8B">
      <w:pPr>
        <w:rPr>
          <w:sz w:val="20"/>
        </w:rPr>
      </w:pPr>
      <w:r w:rsidRPr="003D1DE6">
        <w:rPr>
          <w:sz w:val="20"/>
        </w:rPr>
        <w:t>National Health and Medical Research Council (2009). NHMRC levels of evidence and grades for recommendations for developers of guidelines (2009). Australian Government: NHMRC. http://www.nhmrc.gov.au/_files_nhmrc/file/guidelines/evidence_statement_form.pdf</w:t>
      </w:r>
    </w:p>
    <w:p w:rsidR="00D07D63" w:rsidRDefault="002D4F8B">
      <w:pPr>
        <w:rPr>
          <w:sz w:val="20"/>
        </w:rPr>
      </w:pPr>
      <w:r w:rsidRPr="003D1DE6">
        <w:rPr>
          <w:sz w:val="20"/>
        </w:rPr>
        <w:t xml:space="preserve">OCEBM Levels of Evidence Working Group Oxford (2011).The Oxford 2011 Levels of Evidence. Oxford Centre for Evidence-Based Medicine. </w:t>
      </w:r>
      <w:hyperlink r:id="rId8" w:history="1">
        <w:r w:rsidR="002761EF" w:rsidRPr="00224D0C">
          <w:rPr>
            <w:rStyle w:val="Hyperlink"/>
            <w:sz w:val="20"/>
          </w:rPr>
          <w:t>http://www.cebm.net/index.aspx?o=1025</w:t>
        </w:r>
      </w:hyperlink>
    </w:p>
    <w:p w:rsidR="002761EF" w:rsidRPr="002761EF" w:rsidRDefault="002761EF">
      <w:pPr>
        <w:rPr>
          <w:sz w:val="12"/>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153"/>
        <w:gridCol w:w="515"/>
        <w:gridCol w:w="141"/>
        <w:gridCol w:w="1652"/>
        <w:gridCol w:w="475"/>
        <w:gridCol w:w="1833"/>
        <w:gridCol w:w="576"/>
        <w:gridCol w:w="1732"/>
        <w:gridCol w:w="395"/>
        <w:gridCol w:w="1913"/>
        <w:gridCol w:w="496"/>
        <w:gridCol w:w="1812"/>
        <w:gridCol w:w="456"/>
        <w:gridCol w:w="1852"/>
      </w:tblGrid>
      <w:tr w:rsidR="00B83577" w:rsidTr="00B83577">
        <w:trPr>
          <w:trHeight w:val="607"/>
        </w:trPr>
        <w:tc>
          <w:tcPr>
            <w:tcW w:w="1153" w:type="dxa"/>
            <w:tcBorders>
              <w:bottom w:val="single" w:sz="4" w:space="0" w:color="auto"/>
              <w:right w:val="single" w:sz="4" w:space="0" w:color="auto"/>
            </w:tcBorders>
            <w:vAlign w:val="center"/>
          </w:tcPr>
          <w:p w:rsidR="00B83577" w:rsidRDefault="00B83577" w:rsidP="00DD7FA3">
            <w:r>
              <w:t>Databases searched:</w:t>
            </w:r>
          </w:p>
        </w:tc>
        <w:sdt>
          <w:sdtPr>
            <w:id w:val="1061595331"/>
          </w:sdtPr>
          <w:sdtEndPr/>
          <w:sdtContent>
            <w:tc>
              <w:tcPr>
                <w:tcW w:w="515" w:type="dxa"/>
                <w:tcBorders>
                  <w:top w:val="single" w:sz="4" w:space="0" w:color="auto"/>
                  <w:left w:val="single" w:sz="4" w:space="0" w:color="auto"/>
                  <w:bottom w:val="single" w:sz="4" w:space="0" w:color="auto"/>
                </w:tcBorders>
                <w:vAlign w:val="center"/>
              </w:tcPr>
              <w:p w:rsidR="00B83577" w:rsidRDefault="00704857" w:rsidP="00DD7FA3">
                <w:pPr>
                  <w:jc w:val="center"/>
                </w:pPr>
                <w:r>
                  <w:t>X</w:t>
                </w:r>
              </w:p>
            </w:tc>
          </w:sdtContent>
        </w:sdt>
        <w:tc>
          <w:tcPr>
            <w:tcW w:w="1793" w:type="dxa"/>
            <w:gridSpan w:val="2"/>
            <w:tcBorders>
              <w:top w:val="single" w:sz="4" w:space="0" w:color="auto"/>
              <w:bottom w:val="single" w:sz="4" w:space="0" w:color="auto"/>
              <w:right w:val="single" w:sz="4" w:space="0" w:color="auto"/>
            </w:tcBorders>
            <w:vAlign w:val="center"/>
          </w:tcPr>
          <w:p w:rsidR="00B83577" w:rsidRDefault="00B83577" w:rsidP="00DD7FA3">
            <w:r>
              <w:t>CINAHL (</w:t>
            </w:r>
            <w:proofErr w:type="spellStart"/>
            <w:r>
              <w:t>Ebsco</w:t>
            </w:r>
            <w:proofErr w:type="spellEnd"/>
            <w:r>
              <w:t>)</w:t>
            </w:r>
          </w:p>
        </w:tc>
        <w:sdt>
          <w:sdtPr>
            <w:id w:val="1460298214"/>
            <w:showingPlcHdr/>
          </w:sdtPr>
          <w:sdtEndPr/>
          <w:sdtContent>
            <w:tc>
              <w:tcPr>
                <w:tcW w:w="475" w:type="dxa"/>
                <w:tcBorders>
                  <w:top w:val="single" w:sz="4" w:space="0" w:color="auto"/>
                  <w:left w:val="single" w:sz="4" w:space="0" w:color="auto"/>
                  <w:bottom w:val="single" w:sz="4" w:space="0" w:color="auto"/>
                </w:tcBorders>
                <w:vAlign w:val="center"/>
              </w:tcPr>
              <w:p w:rsidR="00B83577" w:rsidRDefault="00704857" w:rsidP="00704857">
                <w:pPr>
                  <w:jc w:val="center"/>
                </w:pPr>
                <w:r>
                  <w:t xml:space="preserve">     </w:t>
                </w:r>
              </w:p>
            </w:tc>
          </w:sdtContent>
        </w:sdt>
        <w:tc>
          <w:tcPr>
            <w:tcW w:w="1833" w:type="dxa"/>
            <w:tcBorders>
              <w:top w:val="single" w:sz="4" w:space="0" w:color="auto"/>
              <w:bottom w:val="single" w:sz="4" w:space="0" w:color="auto"/>
              <w:right w:val="single" w:sz="4" w:space="0" w:color="auto"/>
            </w:tcBorders>
            <w:vAlign w:val="center"/>
          </w:tcPr>
          <w:p w:rsidR="00B83577" w:rsidRDefault="00B83577" w:rsidP="00DD7FA3">
            <w:r>
              <w:t>Medline (</w:t>
            </w:r>
            <w:proofErr w:type="spellStart"/>
            <w:r>
              <w:t>Ebsco</w:t>
            </w:r>
            <w:proofErr w:type="spellEnd"/>
            <w:r>
              <w:t>)</w:t>
            </w:r>
          </w:p>
        </w:tc>
        <w:sdt>
          <w:sdtPr>
            <w:id w:val="-828985691"/>
          </w:sdtPr>
          <w:sdtEndPr/>
          <w:sdtContent>
            <w:tc>
              <w:tcPr>
                <w:tcW w:w="576" w:type="dxa"/>
                <w:tcBorders>
                  <w:top w:val="single" w:sz="4" w:space="0" w:color="auto"/>
                  <w:left w:val="single" w:sz="4" w:space="0" w:color="auto"/>
                  <w:bottom w:val="single" w:sz="4" w:space="0" w:color="auto"/>
                </w:tcBorders>
                <w:vAlign w:val="center"/>
              </w:tcPr>
              <w:p w:rsidR="00B83577" w:rsidRDefault="00704857" w:rsidP="00704857">
                <w:pPr>
                  <w:jc w:val="center"/>
                </w:pPr>
                <w:r>
                  <w:rPr>
                    <w:rFonts w:ascii="MS Gothic" w:eastAsia="MS Gothic" w:hAnsi="MS Gothic" w:hint="eastAsia"/>
                  </w:rPr>
                  <w:t>X</w:t>
                </w:r>
              </w:p>
            </w:tc>
          </w:sdtContent>
        </w:sdt>
        <w:tc>
          <w:tcPr>
            <w:tcW w:w="1732" w:type="dxa"/>
            <w:tcBorders>
              <w:top w:val="single" w:sz="4" w:space="0" w:color="auto"/>
              <w:bottom w:val="single" w:sz="4" w:space="0" w:color="auto"/>
              <w:right w:val="single" w:sz="4" w:space="0" w:color="auto"/>
            </w:tcBorders>
            <w:vAlign w:val="center"/>
          </w:tcPr>
          <w:p w:rsidR="00B83577" w:rsidRDefault="00B83577" w:rsidP="00DD7FA3">
            <w:proofErr w:type="spellStart"/>
            <w:r>
              <w:t>Pubmed</w:t>
            </w:r>
            <w:proofErr w:type="spellEnd"/>
            <w:r>
              <w:t xml:space="preserve"> (NLM)</w:t>
            </w:r>
          </w:p>
        </w:tc>
        <w:sdt>
          <w:sdtPr>
            <w:id w:val="1012106513"/>
          </w:sdtPr>
          <w:sdtEndPr/>
          <w:sdtContent>
            <w:tc>
              <w:tcPr>
                <w:tcW w:w="395" w:type="dxa"/>
                <w:tcBorders>
                  <w:top w:val="single" w:sz="4" w:space="0" w:color="auto"/>
                  <w:left w:val="single" w:sz="4" w:space="0" w:color="auto"/>
                  <w:bottom w:val="single" w:sz="4" w:space="0" w:color="auto"/>
                </w:tcBorders>
                <w:vAlign w:val="center"/>
              </w:tcPr>
              <w:p w:rsidR="00B83577" w:rsidRDefault="00B83577" w:rsidP="00DD7FA3">
                <w:pPr>
                  <w:jc w:val="center"/>
                </w:pPr>
                <w:r>
                  <w:rPr>
                    <w:rFonts w:ascii="MS Gothic" w:eastAsia="MS Gothic" w:hAnsi="MS Gothic" w:hint="eastAsia"/>
                  </w:rPr>
                  <w:t>☐</w:t>
                </w:r>
              </w:p>
            </w:tc>
          </w:sdtContent>
        </w:sdt>
        <w:tc>
          <w:tcPr>
            <w:tcW w:w="1913" w:type="dxa"/>
            <w:tcBorders>
              <w:top w:val="single" w:sz="4" w:space="0" w:color="auto"/>
              <w:bottom w:val="single" w:sz="4" w:space="0" w:color="auto"/>
              <w:right w:val="single" w:sz="4" w:space="0" w:color="auto"/>
            </w:tcBorders>
            <w:vAlign w:val="center"/>
          </w:tcPr>
          <w:p w:rsidR="00B83577" w:rsidRDefault="00B83577" w:rsidP="00DD7FA3">
            <w:r>
              <w:t>Nursing (Ovid)</w:t>
            </w:r>
          </w:p>
        </w:tc>
        <w:sdt>
          <w:sdtPr>
            <w:id w:val="1157892745"/>
          </w:sdtPr>
          <w:sdtEndPr/>
          <w:sdtContent>
            <w:tc>
              <w:tcPr>
                <w:tcW w:w="496" w:type="dxa"/>
                <w:tcBorders>
                  <w:top w:val="single" w:sz="4" w:space="0" w:color="auto"/>
                  <w:left w:val="single" w:sz="4" w:space="0" w:color="auto"/>
                  <w:bottom w:val="single" w:sz="4" w:space="0" w:color="auto"/>
                </w:tcBorders>
                <w:vAlign w:val="center"/>
              </w:tcPr>
              <w:p w:rsidR="00B83577" w:rsidRDefault="00B83577" w:rsidP="00DD7FA3">
                <w:pPr>
                  <w:jc w:val="center"/>
                </w:pPr>
                <w:r>
                  <w:rPr>
                    <w:rFonts w:ascii="MS Gothic" w:eastAsia="MS Gothic" w:hAnsi="MS Gothic" w:hint="eastAsia"/>
                  </w:rPr>
                  <w:t>☐</w:t>
                </w:r>
              </w:p>
            </w:tc>
          </w:sdtContent>
        </w:sdt>
        <w:tc>
          <w:tcPr>
            <w:tcW w:w="1812" w:type="dxa"/>
            <w:tcBorders>
              <w:top w:val="single" w:sz="4" w:space="0" w:color="auto"/>
              <w:bottom w:val="single" w:sz="4" w:space="0" w:color="auto"/>
              <w:right w:val="single" w:sz="4" w:space="0" w:color="auto"/>
            </w:tcBorders>
            <w:vAlign w:val="center"/>
          </w:tcPr>
          <w:p w:rsidR="00B83577" w:rsidRDefault="00B83577" w:rsidP="00DD7FA3">
            <w:proofErr w:type="spellStart"/>
            <w:r>
              <w:t>Emcare</w:t>
            </w:r>
            <w:proofErr w:type="spellEnd"/>
            <w:r>
              <w:t xml:space="preserve"> (Ovid) </w:t>
            </w:r>
          </w:p>
        </w:tc>
        <w:sdt>
          <w:sdtPr>
            <w:id w:val="969444622"/>
          </w:sdtPr>
          <w:sdtEndPr/>
          <w:sdtContent>
            <w:tc>
              <w:tcPr>
                <w:tcW w:w="456" w:type="dxa"/>
                <w:tcBorders>
                  <w:top w:val="single" w:sz="4" w:space="0" w:color="auto"/>
                  <w:left w:val="single" w:sz="4" w:space="0" w:color="auto"/>
                  <w:bottom w:val="single" w:sz="4" w:space="0" w:color="auto"/>
                  <w:right w:val="nil"/>
                </w:tcBorders>
                <w:vAlign w:val="center"/>
              </w:tcPr>
              <w:p w:rsidR="00B83577" w:rsidRDefault="00B83577" w:rsidP="00DD7FA3">
                <w:r>
                  <w:rPr>
                    <w:rFonts w:ascii="MS Gothic" w:eastAsia="MS Gothic" w:hAnsi="MS Gothic" w:hint="eastAsia"/>
                  </w:rPr>
                  <w:t>☐</w:t>
                </w:r>
              </w:p>
            </w:tc>
          </w:sdtContent>
        </w:sdt>
        <w:tc>
          <w:tcPr>
            <w:tcW w:w="1852" w:type="dxa"/>
            <w:tcBorders>
              <w:top w:val="single" w:sz="4" w:space="0" w:color="auto"/>
              <w:left w:val="nil"/>
              <w:bottom w:val="single" w:sz="4" w:space="0" w:color="auto"/>
              <w:right w:val="single" w:sz="4" w:space="0" w:color="auto"/>
            </w:tcBorders>
            <w:vAlign w:val="center"/>
          </w:tcPr>
          <w:p w:rsidR="00B83577" w:rsidRDefault="00B83577" w:rsidP="00DD7FA3">
            <w:r>
              <w:t>Other</w:t>
            </w:r>
          </w:p>
          <w:p w:rsidR="00B83577" w:rsidRDefault="00B83577" w:rsidP="00DD7FA3">
            <w:r>
              <w:t>List: __________</w:t>
            </w:r>
          </w:p>
        </w:tc>
      </w:tr>
      <w:tr w:rsidR="00DD7FA3" w:rsidTr="00B83577">
        <w:trPr>
          <w:trHeight w:val="303"/>
        </w:trPr>
        <w:tc>
          <w:tcPr>
            <w:tcW w:w="1809" w:type="dxa"/>
            <w:gridSpan w:val="3"/>
            <w:tcBorders>
              <w:top w:val="single" w:sz="4" w:space="0" w:color="auto"/>
              <w:bottom w:val="single" w:sz="4" w:space="0" w:color="auto"/>
              <w:right w:val="single" w:sz="4" w:space="0" w:color="auto"/>
            </w:tcBorders>
            <w:vAlign w:val="center"/>
          </w:tcPr>
          <w:p w:rsidR="00DD7FA3" w:rsidRDefault="00DD7FA3" w:rsidP="00DD7FA3">
            <w:r>
              <w:t>Keywords used:</w:t>
            </w:r>
          </w:p>
        </w:tc>
        <w:tc>
          <w:tcPr>
            <w:tcW w:w="13192" w:type="dxa"/>
            <w:gridSpan w:val="11"/>
            <w:tcBorders>
              <w:top w:val="single" w:sz="4" w:space="0" w:color="auto"/>
              <w:left w:val="single" w:sz="4" w:space="0" w:color="auto"/>
              <w:bottom w:val="single" w:sz="4" w:space="0" w:color="auto"/>
            </w:tcBorders>
          </w:tcPr>
          <w:p w:rsidR="00DD7FA3" w:rsidRDefault="00704857">
            <w:r>
              <w:t xml:space="preserve">NICU, neonate, fluids, intravenous, fluid homeostasis, electrolyte management, </w:t>
            </w:r>
            <w:r w:rsidR="00B448D4">
              <w:t>acid base</w:t>
            </w:r>
            <w:bookmarkStart w:id="0" w:name="_GoBack"/>
            <w:bookmarkEnd w:id="0"/>
          </w:p>
        </w:tc>
      </w:tr>
      <w:tr w:rsidR="00DD7FA3" w:rsidTr="00B83577">
        <w:trPr>
          <w:trHeight w:val="303"/>
        </w:trPr>
        <w:tc>
          <w:tcPr>
            <w:tcW w:w="1809" w:type="dxa"/>
            <w:gridSpan w:val="3"/>
            <w:tcBorders>
              <w:top w:val="single" w:sz="4" w:space="0" w:color="auto"/>
              <w:bottom w:val="single" w:sz="4" w:space="0" w:color="auto"/>
              <w:right w:val="single" w:sz="4" w:space="0" w:color="auto"/>
            </w:tcBorders>
            <w:vAlign w:val="center"/>
          </w:tcPr>
          <w:p w:rsidR="00DD7FA3" w:rsidRDefault="00DD7FA3" w:rsidP="00DD7FA3">
            <w:r>
              <w:t>Search limits:</w:t>
            </w:r>
          </w:p>
        </w:tc>
        <w:tc>
          <w:tcPr>
            <w:tcW w:w="13192" w:type="dxa"/>
            <w:gridSpan w:val="11"/>
            <w:tcBorders>
              <w:top w:val="single" w:sz="4" w:space="0" w:color="auto"/>
              <w:left w:val="single" w:sz="4" w:space="0" w:color="auto"/>
              <w:bottom w:val="single" w:sz="4" w:space="0" w:color="auto"/>
            </w:tcBorders>
          </w:tcPr>
          <w:p w:rsidR="00DD7FA3" w:rsidRDefault="00DD7FA3"/>
        </w:tc>
      </w:tr>
      <w:tr w:rsidR="00DD7FA3" w:rsidTr="00B83577">
        <w:trPr>
          <w:trHeight w:val="607"/>
        </w:trPr>
        <w:tc>
          <w:tcPr>
            <w:tcW w:w="1809" w:type="dxa"/>
            <w:gridSpan w:val="3"/>
            <w:tcBorders>
              <w:top w:val="single" w:sz="4" w:space="0" w:color="auto"/>
              <w:bottom w:val="single" w:sz="4" w:space="0" w:color="auto"/>
              <w:right w:val="single" w:sz="4" w:space="0" w:color="auto"/>
            </w:tcBorders>
          </w:tcPr>
          <w:p w:rsidR="00DD7FA3" w:rsidRDefault="00DD7FA3">
            <w:r>
              <w:t>Other search comments:</w:t>
            </w:r>
          </w:p>
        </w:tc>
        <w:tc>
          <w:tcPr>
            <w:tcW w:w="13192" w:type="dxa"/>
            <w:gridSpan w:val="11"/>
            <w:tcBorders>
              <w:top w:val="single" w:sz="4" w:space="0" w:color="auto"/>
              <w:left w:val="single" w:sz="4" w:space="0" w:color="auto"/>
              <w:bottom w:val="single" w:sz="4" w:space="0" w:color="auto"/>
            </w:tcBorders>
          </w:tcPr>
          <w:p w:rsidR="00DD7FA3" w:rsidRDefault="00DD7FA3"/>
        </w:tc>
      </w:tr>
    </w:tbl>
    <w:p w:rsidR="00B83577" w:rsidRDefault="00B83577" w:rsidP="00535B9C">
      <w:pPr>
        <w:pStyle w:val="Header"/>
        <w:jc w:val="right"/>
      </w:pPr>
    </w:p>
    <w:p w:rsidR="002761EF" w:rsidRDefault="002761EF" w:rsidP="00535B9C">
      <w:pPr>
        <w:pStyle w:val="Header"/>
        <w:jc w:val="right"/>
      </w:pPr>
    </w:p>
    <w:p w:rsidR="00535B9C" w:rsidRDefault="00535B9C" w:rsidP="00535B9C">
      <w:pPr>
        <w:pStyle w:val="Header"/>
        <w:jc w:val="right"/>
      </w:pPr>
      <w:r>
        <w:lastRenderedPageBreak/>
        <w:t>Guideline Title:</w:t>
      </w:r>
    </w:p>
    <w:p w:rsidR="003D1DE6" w:rsidRDefault="00535B9C" w:rsidP="00535B9C">
      <w:pPr>
        <w:pStyle w:val="Header"/>
        <w:jc w:val="right"/>
      </w:pPr>
      <w:r>
        <w:t>Author(s):</w:t>
      </w:r>
    </w:p>
    <w:p w:rsidR="002D4F8B" w:rsidRDefault="002D4F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gridCol w:w="1559"/>
        <w:gridCol w:w="6410"/>
      </w:tblGrid>
      <w:tr w:rsidR="002D4F8B" w:rsidRPr="00220CBA" w:rsidTr="002D4F8B">
        <w:trPr>
          <w:cantSplit/>
          <w:trHeight w:val="984"/>
        </w:trPr>
        <w:tc>
          <w:tcPr>
            <w:tcW w:w="7225" w:type="dxa"/>
            <w:vAlign w:val="center"/>
          </w:tcPr>
          <w:p w:rsidR="002D4F8B" w:rsidRPr="002D4F8B" w:rsidRDefault="002D4F8B" w:rsidP="002D4F8B">
            <w:pPr>
              <w:jc w:val="center"/>
              <w:rPr>
                <w:b/>
              </w:rPr>
            </w:pPr>
            <w:r w:rsidRPr="002D4F8B">
              <w:rPr>
                <w:b/>
              </w:rPr>
              <w:t>Reference (include title, author, journal title, year of publication, volume and issue, pages)</w:t>
            </w:r>
          </w:p>
        </w:tc>
        <w:tc>
          <w:tcPr>
            <w:tcW w:w="1559" w:type="dxa"/>
            <w:vAlign w:val="center"/>
          </w:tcPr>
          <w:p w:rsidR="002D4F8B" w:rsidRPr="002D4F8B" w:rsidRDefault="002D4F8B" w:rsidP="002D4F8B">
            <w:pPr>
              <w:jc w:val="center"/>
              <w:rPr>
                <w:b/>
              </w:rPr>
            </w:pPr>
            <w:r w:rsidRPr="002D4F8B">
              <w:rPr>
                <w:b/>
              </w:rPr>
              <w:t>Evidence level</w:t>
            </w:r>
          </w:p>
          <w:p w:rsidR="002D4F8B" w:rsidRPr="002D4F8B" w:rsidRDefault="002D4F8B" w:rsidP="002D4F8B">
            <w:pPr>
              <w:jc w:val="center"/>
              <w:rPr>
                <w:b/>
              </w:rPr>
            </w:pPr>
            <w:r w:rsidRPr="002D4F8B">
              <w:rPr>
                <w:b/>
              </w:rPr>
              <w:t>(I-VII)</w:t>
            </w:r>
          </w:p>
        </w:tc>
        <w:tc>
          <w:tcPr>
            <w:tcW w:w="6410" w:type="dxa"/>
            <w:vAlign w:val="center"/>
          </w:tcPr>
          <w:p w:rsidR="002D4F8B" w:rsidRPr="002D4F8B" w:rsidRDefault="002D4F8B" w:rsidP="002D4F8B">
            <w:pPr>
              <w:jc w:val="center"/>
              <w:rPr>
                <w:b/>
              </w:rPr>
            </w:pPr>
            <w:r w:rsidRPr="002D4F8B">
              <w:rPr>
                <w:b/>
              </w:rPr>
              <w:t>Key findings, outcomes or recommendations</w:t>
            </w:r>
          </w:p>
        </w:tc>
      </w:tr>
      <w:tr w:rsidR="002D4F8B" w:rsidRPr="00220CBA" w:rsidTr="002D4F8B">
        <w:trPr>
          <w:cantSplit/>
          <w:trHeight w:val="475"/>
        </w:trPr>
        <w:tc>
          <w:tcPr>
            <w:tcW w:w="7225" w:type="dxa"/>
            <w:vAlign w:val="center"/>
          </w:tcPr>
          <w:p w:rsidR="002D4F8B" w:rsidRPr="00220CBA" w:rsidRDefault="006D6535" w:rsidP="002D4F8B">
            <w:pPr>
              <w:jc w:val="center"/>
              <w:rPr>
                <w:b/>
                <w:bCs/>
              </w:rPr>
            </w:pPr>
            <w:r>
              <w:t xml:space="preserve">Rennie, J. (2012). Rennie &amp; </w:t>
            </w:r>
            <w:proofErr w:type="spellStart"/>
            <w:r>
              <w:t>roberton’s</w:t>
            </w:r>
            <w:proofErr w:type="spellEnd"/>
            <w:r>
              <w:t xml:space="preserve"> textbook of neonatology (5th Edition). Churchill Livingstone: United Kingdom</w:t>
            </w:r>
          </w:p>
        </w:tc>
        <w:tc>
          <w:tcPr>
            <w:tcW w:w="1559" w:type="dxa"/>
            <w:vAlign w:val="center"/>
          </w:tcPr>
          <w:p w:rsidR="002D4F8B" w:rsidRPr="00220CBA" w:rsidRDefault="006D6535" w:rsidP="002D4F8B">
            <w:pPr>
              <w:jc w:val="center"/>
            </w:pPr>
            <w:r>
              <w:t>VII</w:t>
            </w:r>
          </w:p>
        </w:tc>
        <w:tc>
          <w:tcPr>
            <w:tcW w:w="6410" w:type="dxa"/>
            <w:vAlign w:val="center"/>
          </w:tcPr>
          <w:p w:rsidR="002D4F8B" w:rsidRPr="00220CBA" w:rsidRDefault="006D6535" w:rsidP="002D4F8B">
            <w:pPr>
              <w:jc w:val="center"/>
              <w:rPr>
                <w:b/>
                <w:bCs/>
              </w:rPr>
            </w:pPr>
            <w:r>
              <w:t>Neonatology textbook – Chapter 18: Fluid &amp; Electrolyte Balance Discusses postnatal alterations in total body water, insensible water loss and the impact of this on the neonates fluid balance including nursing/medical considerations, fluid goals within the first few days after delivery, determinants of fluid balance in the neonate and monitoring parameters as well as common clinical problems.</w:t>
            </w:r>
          </w:p>
        </w:tc>
      </w:tr>
      <w:tr w:rsidR="002D4F8B" w:rsidRPr="00220CBA" w:rsidTr="002D4F8B">
        <w:trPr>
          <w:cantSplit/>
          <w:trHeight w:val="492"/>
        </w:trPr>
        <w:tc>
          <w:tcPr>
            <w:tcW w:w="7225" w:type="dxa"/>
            <w:tcBorders>
              <w:top w:val="single" w:sz="4" w:space="0" w:color="auto"/>
              <w:left w:val="single" w:sz="4" w:space="0" w:color="auto"/>
              <w:bottom w:val="single" w:sz="4" w:space="0" w:color="auto"/>
              <w:right w:val="single" w:sz="4" w:space="0" w:color="auto"/>
            </w:tcBorders>
            <w:vAlign w:val="center"/>
          </w:tcPr>
          <w:p w:rsidR="002D4F8B" w:rsidRPr="00220CBA" w:rsidRDefault="006D6535" w:rsidP="002D4F8B">
            <w:pPr>
              <w:jc w:val="center"/>
              <w:rPr>
                <w:b/>
                <w:bCs/>
              </w:rPr>
            </w:pPr>
            <w:r>
              <w:t xml:space="preserve">Gomella, T., Cunningham M., &amp; </w:t>
            </w:r>
            <w:proofErr w:type="spellStart"/>
            <w:r>
              <w:t>Eyal</w:t>
            </w:r>
            <w:proofErr w:type="spellEnd"/>
            <w:r>
              <w:t>, F. (2017). Neonatology: Management, procedures, on-call problems, diseases and drugs (7th Edition). McGraw-Hill Education: United States of America.</w:t>
            </w:r>
          </w:p>
        </w:tc>
        <w:tc>
          <w:tcPr>
            <w:tcW w:w="1559" w:type="dxa"/>
            <w:tcBorders>
              <w:top w:val="single" w:sz="4" w:space="0" w:color="auto"/>
              <w:left w:val="single" w:sz="4" w:space="0" w:color="auto"/>
              <w:bottom w:val="single" w:sz="4" w:space="0" w:color="auto"/>
              <w:right w:val="single" w:sz="4" w:space="0" w:color="auto"/>
            </w:tcBorders>
            <w:vAlign w:val="center"/>
          </w:tcPr>
          <w:p w:rsidR="002D4F8B" w:rsidRPr="00220CBA" w:rsidRDefault="006D6535" w:rsidP="002D4F8B">
            <w:pPr>
              <w:jc w:val="center"/>
            </w:pPr>
            <w:r>
              <w:t>VII</w:t>
            </w:r>
          </w:p>
        </w:tc>
        <w:tc>
          <w:tcPr>
            <w:tcW w:w="6410" w:type="dxa"/>
            <w:tcBorders>
              <w:top w:val="single" w:sz="4" w:space="0" w:color="auto"/>
              <w:left w:val="single" w:sz="4" w:space="0" w:color="auto"/>
              <w:bottom w:val="single" w:sz="4" w:space="0" w:color="auto"/>
              <w:right w:val="single" w:sz="4" w:space="0" w:color="auto"/>
            </w:tcBorders>
            <w:vAlign w:val="center"/>
          </w:tcPr>
          <w:p w:rsidR="002D4F8B" w:rsidRPr="00220CBA" w:rsidRDefault="006D6535" w:rsidP="002D4F8B">
            <w:pPr>
              <w:jc w:val="center"/>
              <w:rPr>
                <w:b/>
                <w:bCs/>
              </w:rPr>
            </w:pPr>
            <w:r>
              <w:t>Neonatology textbook – Chapter 7: Fluid &amp; Electrolytes A step by step guide to fluid and electrolyte balance in the first few days of life and neonatal period, fluid therapy including goals of treatment, fluid calculations and determinants of alterations in fluid and electrolyte requirements.</w:t>
            </w:r>
          </w:p>
        </w:tc>
      </w:tr>
      <w:tr w:rsidR="002D4F8B" w:rsidRPr="00220CBA" w:rsidTr="002D4F8B">
        <w:trPr>
          <w:cantSplit/>
          <w:trHeight w:val="492"/>
        </w:trPr>
        <w:tc>
          <w:tcPr>
            <w:tcW w:w="7225" w:type="dxa"/>
            <w:tcBorders>
              <w:top w:val="single" w:sz="4" w:space="0" w:color="auto"/>
              <w:left w:val="single" w:sz="4" w:space="0" w:color="auto"/>
              <w:bottom w:val="single" w:sz="4" w:space="0" w:color="auto"/>
              <w:right w:val="single" w:sz="4" w:space="0" w:color="auto"/>
            </w:tcBorders>
            <w:vAlign w:val="center"/>
          </w:tcPr>
          <w:p w:rsidR="002D4F8B" w:rsidRPr="00220CBA" w:rsidRDefault="006D6535" w:rsidP="006D6535">
            <w:pPr>
              <w:jc w:val="center"/>
              <w:rPr>
                <w:b/>
                <w:bCs/>
              </w:rPr>
            </w:pPr>
            <w:r>
              <w:t xml:space="preserve">Gardner, S., Carter, B., </w:t>
            </w:r>
            <w:proofErr w:type="spellStart"/>
            <w:r>
              <w:t>Enzam</w:t>
            </w:r>
            <w:proofErr w:type="spellEnd"/>
            <w:r>
              <w:t>-Hines, M., &amp; Hernandez, J. (2021</w:t>
            </w:r>
            <w:r>
              <w:t xml:space="preserve">). </w:t>
            </w:r>
            <w:proofErr w:type="spellStart"/>
            <w:r>
              <w:t>Merenstein</w:t>
            </w:r>
            <w:proofErr w:type="spellEnd"/>
            <w:r>
              <w:t xml:space="preserve"> &amp; </w:t>
            </w:r>
            <w:proofErr w:type="spellStart"/>
            <w:r>
              <w:t>gardner’s</w:t>
            </w:r>
            <w:proofErr w:type="spellEnd"/>
            <w:r>
              <w:t xml:space="preserve"> handbo</w:t>
            </w:r>
            <w:r w:rsidR="003644F9">
              <w:t>ok of neonatal intensive care (9</w:t>
            </w:r>
            <w:r>
              <w:t>th Edition). Elsevier: St Louis, Missouri</w:t>
            </w:r>
          </w:p>
        </w:tc>
        <w:tc>
          <w:tcPr>
            <w:tcW w:w="1559" w:type="dxa"/>
            <w:tcBorders>
              <w:top w:val="single" w:sz="4" w:space="0" w:color="auto"/>
              <w:left w:val="single" w:sz="4" w:space="0" w:color="auto"/>
              <w:bottom w:val="single" w:sz="4" w:space="0" w:color="auto"/>
              <w:right w:val="single" w:sz="4" w:space="0" w:color="auto"/>
            </w:tcBorders>
            <w:vAlign w:val="center"/>
          </w:tcPr>
          <w:p w:rsidR="002D4F8B" w:rsidRPr="00220CBA" w:rsidRDefault="003644F9" w:rsidP="002D4F8B">
            <w:pPr>
              <w:jc w:val="center"/>
            </w:pPr>
            <w:r>
              <w:t>VII</w:t>
            </w:r>
          </w:p>
        </w:tc>
        <w:tc>
          <w:tcPr>
            <w:tcW w:w="6410" w:type="dxa"/>
            <w:tcBorders>
              <w:top w:val="single" w:sz="4" w:space="0" w:color="auto"/>
              <w:left w:val="single" w:sz="4" w:space="0" w:color="auto"/>
              <w:bottom w:val="single" w:sz="4" w:space="0" w:color="auto"/>
              <w:right w:val="single" w:sz="4" w:space="0" w:color="auto"/>
            </w:tcBorders>
            <w:vAlign w:val="center"/>
          </w:tcPr>
          <w:p w:rsidR="002D4F8B" w:rsidRPr="00220CBA" w:rsidRDefault="003644F9" w:rsidP="002D4F8B">
            <w:pPr>
              <w:jc w:val="center"/>
              <w:rPr>
                <w:b/>
                <w:bCs/>
              </w:rPr>
            </w:pPr>
            <w:r>
              <w:t xml:space="preserve">Neonatology textbook – Unit 3: (Chapter 14 – Fluid &amp; Electrolyte Management) &amp; (Chapter 16 – Total Parenteral Nutrition) Discussion of the physiology of neonatal fluid and electrolyte management including the first few days of life and the </w:t>
            </w:r>
            <w:proofErr w:type="spellStart"/>
            <w:r>
              <w:t>etiology</w:t>
            </w:r>
            <w:proofErr w:type="spellEnd"/>
            <w:r>
              <w:t xml:space="preserve"> and prevention of common neonatal fluid and electrolyte disturbances.</w:t>
            </w:r>
          </w:p>
        </w:tc>
      </w:tr>
      <w:tr w:rsidR="002D4F8B" w:rsidRPr="00220CBA" w:rsidTr="002D4F8B">
        <w:trPr>
          <w:cantSplit/>
          <w:trHeight w:val="475"/>
        </w:trPr>
        <w:tc>
          <w:tcPr>
            <w:tcW w:w="7225" w:type="dxa"/>
            <w:tcBorders>
              <w:top w:val="single" w:sz="4" w:space="0" w:color="auto"/>
              <w:left w:val="single" w:sz="4" w:space="0" w:color="auto"/>
              <w:bottom w:val="single" w:sz="4" w:space="0" w:color="auto"/>
              <w:right w:val="single" w:sz="4" w:space="0" w:color="auto"/>
            </w:tcBorders>
            <w:vAlign w:val="center"/>
          </w:tcPr>
          <w:p w:rsidR="002D4F8B" w:rsidRPr="00220CBA" w:rsidRDefault="003644F9" w:rsidP="002D4F8B">
            <w:pPr>
              <w:jc w:val="center"/>
              <w:rPr>
                <w:b/>
                <w:bCs/>
              </w:rPr>
            </w:pPr>
            <w:r>
              <w:t xml:space="preserve">Auckland District Health Board – Newborn Guidelines. Retrieved from: </w:t>
            </w:r>
            <w:hyperlink r:id="rId9" w:history="1">
              <w:r w:rsidRPr="0046588D">
                <w:rPr>
                  <w:rStyle w:val="Hyperlink"/>
                </w:rPr>
                <w:t>http://www.adhb.govt.nz/newborn/Guidelines.htm</w:t>
              </w:r>
            </w:hyperlink>
            <w: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2D4F8B" w:rsidRPr="00220CBA" w:rsidRDefault="003644F9" w:rsidP="002D4F8B">
            <w:pPr>
              <w:jc w:val="center"/>
            </w:pPr>
            <w:r>
              <w:t>I-VII</w:t>
            </w:r>
          </w:p>
        </w:tc>
        <w:tc>
          <w:tcPr>
            <w:tcW w:w="6410" w:type="dxa"/>
            <w:tcBorders>
              <w:top w:val="single" w:sz="4" w:space="0" w:color="auto"/>
              <w:left w:val="single" w:sz="4" w:space="0" w:color="auto"/>
              <w:bottom w:val="single" w:sz="4" w:space="0" w:color="auto"/>
              <w:right w:val="single" w:sz="4" w:space="0" w:color="auto"/>
            </w:tcBorders>
            <w:vAlign w:val="center"/>
          </w:tcPr>
          <w:p w:rsidR="002D4F8B" w:rsidRPr="00220CBA" w:rsidRDefault="003644F9" w:rsidP="002D4F8B">
            <w:pPr>
              <w:jc w:val="center"/>
              <w:rPr>
                <w:b/>
                <w:bCs/>
              </w:rPr>
            </w:pPr>
            <w:r>
              <w:t>Multiple clinical practice guidelines with references on fluid and electrolyte management in the neonate, particularly</w:t>
            </w:r>
            <w:r>
              <w:t xml:space="preserve"> in relation to</w:t>
            </w:r>
            <w:r>
              <w:t xml:space="preserve"> the preterm neonate.</w:t>
            </w:r>
          </w:p>
        </w:tc>
      </w:tr>
      <w:tr w:rsidR="003644F9" w:rsidRPr="00220CBA" w:rsidTr="002D4F8B">
        <w:trPr>
          <w:cantSplit/>
          <w:trHeight w:val="492"/>
        </w:trPr>
        <w:tc>
          <w:tcPr>
            <w:tcW w:w="7225" w:type="dxa"/>
            <w:tcBorders>
              <w:top w:val="single" w:sz="4" w:space="0" w:color="auto"/>
              <w:left w:val="single" w:sz="4" w:space="0" w:color="auto"/>
              <w:bottom w:val="single" w:sz="4" w:space="0" w:color="auto"/>
              <w:right w:val="single" w:sz="4" w:space="0" w:color="auto"/>
            </w:tcBorders>
            <w:vAlign w:val="center"/>
          </w:tcPr>
          <w:p w:rsidR="003644F9" w:rsidRDefault="003644F9" w:rsidP="002D4F8B">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3644F9" w:rsidRDefault="003644F9" w:rsidP="002D4F8B">
            <w:pPr>
              <w:jc w:val="center"/>
            </w:pPr>
          </w:p>
        </w:tc>
        <w:tc>
          <w:tcPr>
            <w:tcW w:w="6410" w:type="dxa"/>
            <w:tcBorders>
              <w:top w:val="single" w:sz="4" w:space="0" w:color="auto"/>
              <w:left w:val="single" w:sz="4" w:space="0" w:color="auto"/>
              <w:bottom w:val="single" w:sz="4" w:space="0" w:color="auto"/>
              <w:right w:val="single" w:sz="4" w:space="0" w:color="auto"/>
            </w:tcBorders>
            <w:vAlign w:val="center"/>
          </w:tcPr>
          <w:p w:rsidR="003644F9" w:rsidRDefault="003644F9" w:rsidP="002D4F8B">
            <w:pPr>
              <w:jc w:val="center"/>
            </w:pPr>
          </w:p>
        </w:tc>
      </w:tr>
      <w:tr w:rsidR="002D4F8B" w:rsidRPr="00220CBA" w:rsidTr="002D4F8B">
        <w:trPr>
          <w:cantSplit/>
          <w:trHeight w:val="492"/>
        </w:trPr>
        <w:tc>
          <w:tcPr>
            <w:tcW w:w="7225" w:type="dxa"/>
            <w:tcBorders>
              <w:top w:val="single" w:sz="4" w:space="0" w:color="auto"/>
              <w:left w:val="single" w:sz="4" w:space="0" w:color="auto"/>
              <w:bottom w:val="single" w:sz="4" w:space="0" w:color="auto"/>
              <w:right w:val="single" w:sz="4" w:space="0" w:color="auto"/>
            </w:tcBorders>
            <w:vAlign w:val="center"/>
          </w:tcPr>
          <w:p w:rsidR="002D4F8B" w:rsidRPr="00220CBA" w:rsidRDefault="003644F9" w:rsidP="002D4F8B">
            <w:pPr>
              <w:jc w:val="center"/>
              <w:rPr>
                <w:b/>
                <w:bCs/>
              </w:rPr>
            </w:pPr>
            <w:r>
              <w:lastRenderedPageBreak/>
              <w:t xml:space="preserve">King Edward Memorial Hospital – Neonatal Critical Care Unit Retrieved from: </w:t>
            </w:r>
            <w:hyperlink r:id="rId10" w:history="1">
              <w:r w:rsidRPr="0046588D">
                <w:rPr>
                  <w:rStyle w:val="Hyperlink"/>
                </w:rPr>
                <w:t>http://www.kemh.health.wa.gov.au/services/nccu/guidelines/</w:t>
              </w:r>
            </w:hyperlink>
            <w: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2D4F8B" w:rsidRPr="00220CBA" w:rsidRDefault="003644F9" w:rsidP="002D4F8B">
            <w:pPr>
              <w:jc w:val="center"/>
            </w:pPr>
            <w:r>
              <w:t>I-VII</w:t>
            </w:r>
          </w:p>
        </w:tc>
        <w:tc>
          <w:tcPr>
            <w:tcW w:w="6410" w:type="dxa"/>
            <w:tcBorders>
              <w:top w:val="single" w:sz="4" w:space="0" w:color="auto"/>
              <w:left w:val="single" w:sz="4" w:space="0" w:color="auto"/>
              <w:bottom w:val="single" w:sz="4" w:space="0" w:color="auto"/>
              <w:right w:val="single" w:sz="4" w:space="0" w:color="auto"/>
            </w:tcBorders>
            <w:vAlign w:val="center"/>
          </w:tcPr>
          <w:p w:rsidR="002D4F8B" w:rsidRDefault="003644F9" w:rsidP="002D4F8B">
            <w:pPr>
              <w:jc w:val="center"/>
            </w:pPr>
            <w:r>
              <w:t>Multiple clinical practice guidelines with references on fluid and electrolyte management in the neonate incorporating the surgical neonate and resuscitation practices.</w:t>
            </w:r>
          </w:p>
          <w:p w:rsidR="003644F9" w:rsidRDefault="003644F9" w:rsidP="002D4F8B">
            <w:pPr>
              <w:jc w:val="center"/>
            </w:pPr>
          </w:p>
          <w:p w:rsidR="003644F9" w:rsidRPr="00220CBA" w:rsidRDefault="003644F9" w:rsidP="002D4F8B">
            <w:pPr>
              <w:jc w:val="center"/>
              <w:rPr>
                <w:b/>
                <w:bCs/>
              </w:rPr>
            </w:pPr>
          </w:p>
        </w:tc>
      </w:tr>
      <w:tr w:rsidR="003644F9" w:rsidRPr="00220CBA" w:rsidTr="002D4F8B">
        <w:trPr>
          <w:cantSplit/>
          <w:trHeight w:val="492"/>
        </w:trPr>
        <w:tc>
          <w:tcPr>
            <w:tcW w:w="7225" w:type="dxa"/>
            <w:tcBorders>
              <w:top w:val="single" w:sz="4" w:space="0" w:color="auto"/>
              <w:left w:val="single" w:sz="4" w:space="0" w:color="auto"/>
              <w:bottom w:val="single" w:sz="4" w:space="0" w:color="auto"/>
              <w:right w:val="single" w:sz="4" w:space="0" w:color="auto"/>
            </w:tcBorders>
            <w:vAlign w:val="center"/>
          </w:tcPr>
          <w:p w:rsidR="003644F9" w:rsidRDefault="003644F9" w:rsidP="002D4F8B">
            <w:pPr>
              <w:jc w:val="center"/>
            </w:pPr>
            <w:r>
              <w:t>Bhatia, J. (2006). Fluid and electrolyte management in the very low birth weight neonate. Journal of Perinatology, 26. DOI:10.1038/sj.jp.7211466</w:t>
            </w:r>
            <w: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3644F9" w:rsidRDefault="003644F9" w:rsidP="002D4F8B">
            <w:pPr>
              <w:jc w:val="center"/>
            </w:pPr>
            <w:r>
              <w:t>VII</w:t>
            </w:r>
          </w:p>
        </w:tc>
        <w:tc>
          <w:tcPr>
            <w:tcW w:w="6410" w:type="dxa"/>
            <w:tcBorders>
              <w:top w:val="single" w:sz="4" w:space="0" w:color="auto"/>
              <w:left w:val="single" w:sz="4" w:space="0" w:color="auto"/>
              <w:bottom w:val="single" w:sz="4" w:space="0" w:color="auto"/>
              <w:right w:val="single" w:sz="4" w:space="0" w:color="auto"/>
            </w:tcBorders>
            <w:vAlign w:val="center"/>
          </w:tcPr>
          <w:p w:rsidR="003644F9" w:rsidRDefault="003644F9" w:rsidP="002D4F8B">
            <w:pPr>
              <w:jc w:val="center"/>
            </w:pPr>
            <w:r>
              <w:t>Discussion of the importance of appropriate fluid and electrolyte management in the very low birth weight neonate with emphasis on the importance of insensible water losses in the physiology of preterm neonates. Provides some brief management guidelines.</w:t>
            </w:r>
          </w:p>
        </w:tc>
      </w:tr>
      <w:tr w:rsidR="003644F9" w:rsidRPr="00220CBA" w:rsidTr="002D4F8B">
        <w:trPr>
          <w:cantSplit/>
          <w:trHeight w:val="492"/>
        </w:trPr>
        <w:tc>
          <w:tcPr>
            <w:tcW w:w="7225" w:type="dxa"/>
            <w:tcBorders>
              <w:top w:val="single" w:sz="4" w:space="0" w:color="auto"/>
              <w:left w:val="single" w:sz="4" w:space="0" w:color="auto"/>
              <w:bottom w:val="single" w:sz="4" w:space="0" w:color="auto"/>
              <w:right w:val="single" w:sz="4" w:space="0" w:color="auto"/>
            </w:tcBorders>
            <w:vAlign w:val="center"/>
          </w:tcPr>
          <w:p w:rsidR="003644F9" w:rsidRDefault="00704857" w:rsidP="002D4F8B">
            <w:pPr>
              <w:jc w:val="center"/>
            </w:pPr>
            <w:r>
              <w:t>O’Brien, F., &amp; Walker, I. (2014</w:t>
            </w:r>
            <w:r w:rsidR="000A4FB9">
              <w:t xml:space="preserve">). Fluid homeostasis in the neonate. </w:t>
            </w:r>
            <w:proofErr w:type="spellStart"/>
            <w:r w:rsidR="000A4FB9">
              <w:t>Pediatric</w:t>
            </w:r>
            <w:proofErr w:type="spellEnd"/>
            <w:r w:rsidR="000A4FB9">
              <w:t xml:space="preserve"> Anaesthesia, 24 (1). pp 49 – 59.</w:t>
            </w:r>
          </w:p>
        </w:tc>
        <w:tc>
          <w:tcPr>
            <w:tcW w:w="1559" w:type="dxa"/>
            <w:tcBorders>
              <w:top w:val="single" w:sz="4" w:space="0" w:color="auto"/>
              <w:left w:val="single" w:sz="4" w:space="0" w:color="auto"/>
              <w:bottom w:val="single" w:sz="4" w:space="0" w:color="auto"/>
              <w:right w:val="single" w:sz="4" w:space="0" w:color="auto"/>
            </w:tcBorders>
            <w:vAlign w:val="center"/>
          </w:tcPr>
          <w:p w:rsidR="003644F9" w:rsidRDefault="000A4FB9" w:rsidP="002D4F8B">
            <w:pPr>
              <w:jc w:val="center"/>
            </w:pPr>
            <w:r>
              <w:t>VII</w:t>
            </w:r>
          </w:p>
        </w:tc>
        <w:tc>
          <w:tcPr>
            <w:tcW w:w="6410" w:type="dxa"/>
            <w:tcBorders>
              <w:top w:val="single" w:sz="4" w:space="0" w:color="auto"/>
              <w:left w:val="single" w:sz="4" w:space="0" w:color="auto"/>
              <w:bottom w:val="single" w:sz="4" w:space="0" w:color="auto"/>
              <w:right w:val="single" w:sz="4" w:space="0" w:color="auto"/>
            </w:tcBorders>
            <w:vAlign w:val="center"/>
          </w:tcPr>
          <w:p w:rsidR="003644F9" w:rsidRDefault="000A4FB9" w:rsidP="002D4F8B">
            <w:pPr>
              <w:jc w:val="center"/>
            </w:pPr>
            <w:r>
              <w:t>Thorough academic piece on fluid homeostasis in the neonate with supportive evidence from various research including randomised controlled trials. Discusses the importance of understanding fluid physiology within the first few days of life during transition from intrauterine life.</w:t>
            </w:r>
          </w:p>
        </w:tc>
      </w:tr>
      <w:tr w:rsidR="003644F9" w:rsidRPr="00220CBA" w:rsidTr="002D4F8B">
        <w:trPr>
          <w:cantSplit/>
          <w:trHeight w:val="492"/>
        </w:trPr>
        <w:tc>
          <w:tcPr>
            <w:tcW w:w="7225" w:type="dxa"/>
            <w:tcBorders>
              <w:top w:val="single" w:sz="4" w:space="0" w:color="auto"/>
              <w:left w:val="single" w:sz="4" w:space="0" w:color="auto"/>
              <w:bottom w:val="single" w:sz="4" w:space="0" w:color="auto"/>
              <w:right w:val="single" w:sz="4" w:space="0" w:color="auto"/>
            </w:tcBorders>
            <w:vAlign w:val="center"/>
          </w:tcPr>
          <w:p w:rsidR="003644F9" w:rsidRDefault="000A4FB9" w:rsidP="002D4F8B">
            <w:pPr>
              <w:jc w:val="center"/>
            </w:pPr>
            <w:r>
              <w:t xml:space="preserve">Bell EF, </w:t>
            </w:r>
            <w:proofErr w:type="spellStart"/>
            <w:r>
              <w:t>Acarregui</w:t>
            </w:r>
            <w:proofErr w:type="spellEnd"/>
            <w:r>
              <w:t xml:space="preserve"> MJ. Restricted versus liberal water intake for preventing morbidity and mortality in preterm infants. Cochrane Database of Systematic Reviews 2001, Issue 3. Art. No.: CD000503. DOI: 10.1002/14651858.CD000503.</w:t>
            </w:r>
            <w: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3644F9" w:rsidRDefault="000A4FB9" w:rsidP="002D4F8B">
            <w:pPr>
              <w:jc w:val="center"/>
            </w:pPr>
            <w:r>
              <w:t>I</w:t>
            </w:r>
          </w:p>
        </w:tc>
        <w:tc>
          <w:tcPr>
            <w:tcW w:w="6410" w:type="dxa"/>
            <w:tcBorders>
              <w:top w:val="single" w:sz="4" w:space="0" w:color="auto"/>
              <w:left w:val="single" w:sz="4" w:space="0" w:color="auto"/>
              <w:bottom w:val="single" w:sz="4" w:space="0" w:color="auto"/>
              <w:right w:val="single" w:sz="4" w:space="0" w:color="auto"/>
            </w:tcBorders>
            <w:vAlign w:val="center"/>
          </w:tcPr>
          <w:p w:rsidR="003644F9" w:rsidRDefault="000A4FB9" w:rsidP="002D4F8B">
            <w:pPr>
              <w:jc w:val="center"/>
            </w:pPr>
            <w:r>
              <w:t>Cochrane review on fluid restriction in the preterm neonate. Overall author’s consensus of careful restriction that meets physiological need whilst avoiding significant dehydration.</w:t>
            </w:r>
          </w:p>
        </w:tc>
      </w:tr>
      <w:tr w:rsidR="000A4FB9" w:rsidRPr="00220CBA" w:rsidTr="002D4F8B">
        <w:trPr>
          <w:cantSplit/>
          <w:trHeight w:val="492"/>
        </w:trPr>
        <w:tc>
          <w:tcPr>
            <w:tcW w:w="7225" w:type="dxa"/>
            <w:tcBorders>
              <w:top w:val="single" w:sz="4" w:space="0" w:color="auto"/>
              <w:left w:val="single" w:sz="4" w:space="0" w:color="auto"/>
              <w:bottom w:val="single" w:sz="4" w:space="0" w:color="auto"/>
              <w:right w:val="single" w:sz="4" w:space="0" w:color="auto"/>
            </w:tcBorders>
            <w:vAlign w:val="center"/>
          </w:tcPr>
          <w:p w:rsidR="000A4FB9" w:rsidRDefault="008B5C4E" w:rsidP="002D4F8B">
            <w:pPr>
              <w:jc w:val="center"/>
            </w:pPr>
            <w:r>
              <w:t>Management of Hyperbilirubinemia in the Newborn Infant 35 or More Weeks of gestation. AAP Guideline. Paediatrics 2004;114;297</w:t>
            </w:r>
            <w: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A4FB9" w:rsidRDefault="008B5C4E" w:rsidP="002D4F8B">
            <w:pPr>
              <w:jc w:val="center"/>
            </w:pPr>
            <w:r>
              <w:t>VII</w:t>
            </w:r>
          </w:p>
        </w:tc>
        <w:tc>
          <w:tcPr>
            <w:tcW w:w="6410" w:type="dxa"/>
            <w:tcBorders>
              <w:top w:val="single" w:sz="4" w:space="0" w:color="auto"/>
              <w:left w:val="single" w:sz="4" w:space="0" w:color="auto"/>
              <w:bottom w:val="single" w:sz="4" w:space="0" w:color="auto"/>
              <w:right w:val="single" w:sz="4" w:space="0" w:color="auto"/>
            </w:tcBorders>
            <w:vAlign w:val="center"/>
          </w:tcPr>
          <w:p w:rsidR="000A4FB9" w:rsidRDefault="008B5C4E" w:rsidP="002D4F8B">
            <w:pPr>
              <w:jc w:val="center"/>
            </w:pPr>
            <w:r>
              <w:t>Discusses the management of hyperbilirubinemia in the neonate ≥ 35 weeks gestation including monitoring hydration status during the use of phototherapy.</w:t>
            </w:r>
          </w:p>
        </w:tc>
      </w:tr>
      <w:tr w:rsidR="000A4FB9" w:rsidRPr="00220CBA" w:rsidTr="002D4F8B">
        <w:trPr>
          <w:cantSplit/>
          <w:trHeight w:val="492"/>
        </w:trPr>
        <w:tc>
          <w:tcPr>
            <w:tcW w:w="7225" w:type="dxa"/>
            <w:tcBorders>
              <w:top w:val="single" w:sz="4" w:space="0" w:color="auto"/>
              <w:left w:val="single" w:sz="4" w:space="0" w:color="auto"/>
              <w:bottom w:val="single" w:sz="4" w:space="0" w:color="auto"/>
              <w:right w:val="single" w:sz="4" w:space="0" w:color="auto"/>
            </w:tcBorders>
            <w:vAlign w:val="center"/>
          </w:tcPr>
          <w:p w:rsidR="000A4FB9" w:rsidRDefault="008B5C4E" w:rsidP="002D4F8B">
            <w:pPr>
              <w:jc w:val="center"/>
            </w:pPr>
            <w:proofErr w:type="spellStart"/>
            <w:r>
              <w:t>Bolisetty</w:t>
            </w:r>
            <w:proofErr w:type="spellEnd"/>
            <w:r>
              <w:t xml:space="preserve"> S, Osborn D, Sinn J et al. Standardised neonatal parenteral nutrition formulations – an Australasian group consensus 2012. BMC. 2014; 14:48; </w:t>
            </w:r>
            <w:proofErr w:type="spellStart"/>
            <w:r>
              <w:t>doi</w:t>
            </w:r>
            <w:proofErr w:type="spellEnd"/>
            <w:r>
              <w:t>: 10.1186/1471-2431-14-48</w:t>
            </w:r>
            <w: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A4FB9" w:rsidRDefault="008B5C4E" w:rsidP="002D4F8B">
            <w:pPr>
              <w:jc w:val="center"/>
            </w:pPr>
            <w:r>
              <w:t>I</w:t>
            </w:r>
          </w:p>
        </w:tc>
        <w:tc>
          <w:tcPr>
            <w:tcW w:w="6410" w:type="dxa"/>
            <w:tcBorders>
              <w:top w:val="single" w:sz="4" w:space="0" w:color="auto"/>
              <w:left w:val="single" w:sz="4" w:space="0" w:color="auto"/>
              <w:bottom w:val="single" w:sz="4" w:space="0" w:color="auto"/>
              <w:right w:val="single" w:sz="4" w:space="0" w:color="auto"/>
            </w:tcBorders>
            <w:vAlign w:val="center"/>
          </w:tcPr>
          <w:p w:rsidR="000A4FB9" w:rsidRDefault="008B5C4E" w:rsidP="002D4F8B">
            <w:pPr>
              <w:jc w:val="center"/>
            </w:pPr>
            <w:r>
              <w:t>Identifies an Australian group consensus on standardization of total parenteral nutrition formulations and as such improvements in nutritional intakes, quality control and reduced errors.</w:t>
            </w:r>
            <w:r>
              <w:t xml:space="preserve"> </w:t>
            </w:r>
          </w:p>
        </w:tc>
      </w:tr>
    </w:tbl>
    <w:p w:rsidR="002D4F8B" w:rsidRDefault="002D4F8B"/>
    <w:sectPr w:rsidR="002D4F8B" w:rsidSect="002D4F8B">
      <w:headerReference w:type="default" r:id="rId11"/>
      <w:footerReference w:type="default" r:id="rId12"/>
      <w:pgSz w:w="16838" w:h="11906" w:orient="landscape"/>
      <w:pgMar w:top="720" w:right="720" w:bottom="720" w:left="720" w:header="0" w:footer="39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BDC554" w16cid:durableId="224A91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103" w:rsidRDefault="00753103" w:rsidP="002D4F8B">
      <w:pPr>
        <w:spacing w:after="0" w:line="240" w:lineRule="auto"/>
      </w:pPr>
      <w:r>
        <w:separator/>
      </w:r>
    </w:p>
  </w:endnote>
  <w:endnote w:type="continuationSeparator" w:id="0">
    <w:p w:rsidR="00753103" w:rsidRDefault="00753103" w:rsidP="002D4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F8B" w:rsidRPr="003218CB" w:rsidRDefault="00C45CC1" w:rsidP="002D4F8B">
    <w:pPr>
      <w:pStyle w:val="Footer"/>
      <w:jc w:val="right"/>
      <w:rPr>
        <w:sz w:val="20"/>
      </w:rPr>
    </w:pPr>
    <w:r>
      <w:rPr>
        <w:sz w:val="20"/>
      </w:rPr>
      <w:t>2020</w:t>
    </w:r>
    <w:r w:rsidR="002D4F8B" w:rsidRPr="003218CB">
      <w:rPr>
        <w:sz w:val="20"/>
      </w:rPr>
      <w:t xml:space="preserve"> Nursing Clinical Effectiveness Committee</w:t>
    </w:r>
  </w:p>
  <w:p w:rsidR="002D4F8B" w:rsidRPr="003218CB" w:rsidRDefault="002D4F8B" w:rsidP="002D4F8B">
    <w:pPr>
      <w:pStyle w:val="Footer"/>
      <w:jc w:val="right"/>
      <w:rPr>
        <w:sz w:val="20"/>
      </w:rPr>
    </w:pPr>
    <w:r>
      <w:rPr>
        <w:sz w:val="20"/>
      </w:rPr>
      <w:t>Co-</w:t>
    </w:r>
    <w:r w:rsidRPr="003218CB">
      <w:rPr>
        <w:sz w:val="20"/>
      </w:rPr>
      <w:t>Chairs: Fiona Newall &amp; Sharon Kinney</w:t>
    </w:r>
  </w:p>
  <w:p w:rsidR="002D4F8B" w:rsidRDefault="002D4F8B" w:rsidP="002D4F8B">
    <w:pPr>
      <w:pStyle w:val="Footer"/>
      <w:jc w:val="right"/>
    </w:pPr>
    <w:r w:rsidRPr="003218CB">
      <w:rPr>
        <w:sz w:val="20"/>
      </w:rPr>
      <w:t xml:space="preserve">Contact: </w:t>
    </w:r>
    <w:hyperlink r:id="rId1" w:history="1">
      <w:r w:rsidRPr="003218CB">
        <w:rPr>
          <w:rStyle w:val="Hyperlink"/>
          <w:sz w:val="20"/>
        </w:rPr>
        <w:t>Nursing.Research@rch.org.au</w:t>
      </w:r>
    </w:hyperlink>
  </w:p>
  <w:p w:rsidR="002D4F8B" w:rsidRDefault="002D4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103" w:rsidRDefault="00753103" w:rsidP="002D4F8B">
      <w:pPr>
        <w:spacing w:after="0" w:line="240" w:lineRule="auto"/>
      </w:pPr>
      <w:r>
        <w:separator/>
      </w:r>
    </w:p>
  </w:footnote>
  <w:footnote w:type="continuationSeparator" w:id="0">
    <w:p w:rsidR="00753103" w:rsidRDefault="00753103" w:rsidP="002D4F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B9C" w:rsidRPr="00535B9C" w:rsidRDefault="00535B9C" w:rsidP="00535B9C">
    <w:pPr>
      <w:pStyle w:val="Header"/>
    </w:pPr>
    <w:r w:rsidRPr="00535B9C">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8B"/>
    <w:rsid w:val="000475EF"/>
    <w:rsid w:val="000A4FB9"/>
    <w:rsid w:val="00195448"/>
    <w:rsid w:val="002761EF"/>
    <w:rsid w:val="002D4F8B"/>
    <w:rsid w:val="002D5706"/>
    <w:rsid w:val="003644F9"/>
    <w:rsid w:val="003D1DE6"/>
    <w:rsid w:val="004966BD"/>
    <w:rsid w:val="00515D61"/>
    <w:rsid w:val="00535B9C"/>
    <w:rsid w:val="005C6F70"/>
    <w:rsid w:val="006D6535"/>
    <w:rsid w:val="00704857"/>
    <w:rsid w:val="00753103"/>
    <w:rsid w:val="008B5C4E"/>
    <w:rsid w:val="00B448D4"/>
    <w:rsid w:val="00B83577"/>
    <w:rsid w:val="00C45CC1"/>
    <w:rsid w:val="00D07D63"/>
    <w:rsid w:val="00D2685F"/>
    <w:rsid w:val="00DD7FA3"/>
    <w:rsid w:val="00ED5FB1"/>
    <w:rsid w:val="00F11F3D"/>
    <w:rsid w:val="00FD2F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C1A8F0-5B7F-4310-9956-DFC388B6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6BD"/>
  </w:style>
  <w:style w:type="paragraph" w:styleId="Heading1">
    <w:name w:val="heading 1"/>
    <w:basedOn w:val="Normal"/>
    <w:next w:val="Normal"/>
    <w:link w:val="Heading1Char"/>
    <w:uiPriority w:val="9"/>
    <w:qFormat/>
    <w:rsid w:val="002D4F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F8B"/>
  </w:style>
  <w:style w:type="paragraph" w:styleId="Footer">
    <w:name w:val="footer"/>
    <w:basedOn w:val="Normal"/>
    <w:link w:val="FooterChar"/>
    <w:uiPriority w:val="99"/>
    <w:unhideWhenUsed/>
    <w:rsid w:val="002D4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F8B"/>
  </w:style>
  <w:style w:type="character" w:customStyle="1" w:styleId="Heading1Char">
    <w:name w:val="Heading 1 Char"/>
    <w:basedOn w:val="DefaultParagraphFont"/>
    <w:link w:val="Heading1"/>
    <w:uiPriority w:val="9"/>
    <w:rsid w:val="002D4F8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D4F8B"/>
    <w:rPr>
      <w:color w:val="0563C1" w:themeColor="hyperlink"/>
      <w:u w:val="single"/>
    </w:rPr>
  </w:style>
  <w:style w:type="paragraph" w:styleId="Title">
    <w:name w:val="Title"/>
    <w:basedOn w:val="Normal"/>
    <w:next w:val="Normal"/>
    <w:link w:val="TitleChar"/>
    <w:uiPriority w:val="10"/>
    <w:qFormat/>
    <w:rsid w:val="002D4F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F8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5448"/>
    <w:rPr>
      <w:color w:val="808080"/>
    </w:rPr>
  </w:style>
  <w:style w:type="character" w:styleId="CommentReference">
    <w:name w:val="annotation reference"/>
    <w:basedOn w:val="DefaultParagraphFont"/>
    <w:uiPriority w:val="99"/>
    <w:semiHidden/>
    <w:unhideWhenUsed/>
    <w:rsid w:val="00D2685F"/>
    <w:rPr>
      <w:sz w:val="16"/>
      <w:szCs w:val="16"/>
    </w:rPr>
  </w:style>
  <w:style w:type="paragraph" w:styleId="CommentText">
    <w:name w:val="annotation text"/>
    <w:basedOn w:val="Normal"/>
    <w:link w:val="CommentTextChar"/>
    <w:uiPriority w:val="99"/>
    <w:semiHidden/>
    <w:unhideWhenUsed/>
    <w:rsid w:val="00D2685F"/>
    <w:pPr>
      <w:spacing w:line="240" w:lineRule="auto"/>
    </w:pPr>
    <w:rPr>
      <w:sz w:val="20"/>
      <w:szCs w:val="20"/>
    </w:rPr>
  </w:style>
  <w:style w:type="character" w:customStyle="1" w:styleId="CommentTextChar">
    <w:name w:val="Comment Text Char"/>
    <w:basedOn w:val="DefaultParagraphFont"/>
    <w:link w:val="CommentText"/>
    <w:uiPriority w:val="99"/>
    <w:semiHidden/>
    <w:rsid w:val="00D2685F"/>
    <w:rPr>
      <w:sz w:val="20"/>
      <w:szCs w:val="20"/>
    </w:rPr>
  </w:style>
  <w:style w:type="paragraph" w:styleId="CommentSubject">
    <w:name w:val="annotation subject"/>
    <w:basedOn w:val="CommentText"/>
    <w:next w:val="CommentText"/>
    <w:link w:val="CommentSubjectChar"/>
    <w:uiPriority w:val="99"/>
    <w:semiHidden/>
    <w:unhideWhenUsed/>
    <w:rsid w:val="00D2685F"/>
    <w:rPr>
      <w:b/>
      <w:bCs/>
    </w:rPr>
  </w:style>
  <w:style w:type="character" w:customStyle="1" w:styleId="CommentSubjectChar">
    <w:name w:val="Comment Subject Char"/>
    <w:basedOn w:val="CommentTextChar"/>
    <w:link w:val="CommentSubject"/>
    <w:uiPriority w:val="99"/>
    <w:semiHidden/>
    <w:rsid w:val="00D2685F"/>
    <w:rPr>
      <w:b/>
      <w:bCs/>
      <w:sz w:val="20"/>
      <w:szCs w:val="20"/>
    </w:rPr>
  </w:style>
  <w:style w:type="paragraph" w:styleId="BalloonText">
    <w:name w:val="Balloon Text"/>
    <w:basedOn w:val="Normal"/>
    <w:link w:val="BalloonTextChar"/>
    <w:uiPriority w:val="99"/>
    <w:semiHidden/>
    <w:unhideWhenUsed/>
    <w:rsid w:val="00D2685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685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CF804-E4BF-42BB-9630-749C0C5BF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Royal Children's Hospital</Company>
  <LinksUpToDate>false</LinksUpToDate>
  <CharactersWithSpaces>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Hawley</dc:creator>
  <cp:lastModifiedBy>Ailbhe O'Rourke</cp:lastModifiedBy>
  <cp:revision>2</cp:revision>
  <dcterms:created xsi:type="dcterms:W3CDTF">2021-10-01T08:16:00Z</dcterms:created>
  <dcterms:modified xsi:type="dcterms:W3CDTF">2021-10-01T08:16:00Z</dcterms:modified>
</cp:coreProperties>
</file>